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C20389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Twelfth</w:t>
      </w:r>
      <w:r w:rsidR="00112E4C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 xml:space="preserve">Grade </w:t>
      </w:r>
      <w:r w:rsidR="00112E4C">
        <w:rPr>
          <w:rStyle w:val="IntenseReference"/>
          <w:sz w:val="32"/>
          <w:szCs w:val="32"/>
        </w:rPr>
        <w:t>English Language Arts</w:t>
      </w:r>
      <w:r w:rsidR="00FE2BC9" w:rsidRPr="00FE2BC9">
        <w:rPr>
          <w:rStyle w:val="IntenseReference"/>
          <w:sz w:val="32"/>
          <w:szCs w:val="32"/>
        </w:rPr>
        <w:t xml:space="preserve"> Expectations – First Quarter</w:t>
      </w: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</w:t>
      </w:r>
      <w:r w:rsidR="00C20389">
        <w:rPr>
          <w:rFonts w:ascii="Verdana" w:hAnsi="Verdana"/>
          <w:sz w:val="20"/>
          <w:szCs w:val="20"/>
        </w:rPr>
        <w:t>senior</w:t>
      </w:r>
      <w:r w:rsidR="00112E4C">
        <w:rPr>
          <w:rFonts w:ascii="Verdana" w:hAnsi="Verdana"/>
          <w:sz w:val="20"/>
          <w:szCs w:val="20"/>
        </w:rPr>
        <w:t xml:space="preserve"> year in English Language Arts.</w:t>
      </w:r>
      <w:r w:rsidRPr="00BC7CDD">
        <w:rPr>
          <w:rFonts w:ascii="Verdana" w:hAnsi="Verdana"/>
          <w:sz w:val="20"/>
          <w:szCs w:val="20"/>
        </w:rPr>
        <w:t xml:space="preserve">  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For the next several weeks, </w:t>
      </w:r>
      <w:r w:rsidR="00112E4C">
        <w:rPr>
          <w:rFonts w:ascii="Verdana" w:hAnsi="Verdana"/>
          <w:sz w:val="20"/>
          <w:szCs w:val="20"/>
        </w:rPr>
        <w:t>he or she</w:t>
      </w:r>
      <w:r w:rsidRPr="00BC7CDD">
        <w:rPr>
          <w:rFonts w:ascii="Verdana" w:hAnsi="Verdana"/>
          <w:sz w:val="20"/>
          <w:szCs w:val="20"/>
        </w:rPr>
        <w:t xml:space="preserve"> will be </w:t>
      </w:r>
      <w:r w:rsidR="00112E4C">
        <w:rPr>
          <w:rFonts w:ascii="Verdana" w:hAnsi="Verdana"/>
          <w:sz w:val="20"/>
          <w:szCs w:val="20"/>
        </w:rPr>
        <w:t>reading, discussing, and writing about several texts that explore the following essential question:</w:t>
      </w:r>
    </w:p>
    <w:p w:rsidR="00112E4C" w:rsidRPr="009C1F5D" w:rsidRDefault="00112E4C" w:rsidP="00FE2BC9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E65847">
        <w:rPr>
          <w:rFonts w:ascii="Verdana" w:hAnsi="Verdana"/>
          <w:i/>
          <w:sz w:val="20"/>
          <w:szCs w:val="20"/>
        </w:rPr>
        <w:t>To what extent do our schools serve the goals of a true education?</w:t>
      </w:r>
    </w:p>
    <w:p w:rsidR="00800EF7" w:rsidRDefault="00112E4C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Your child will read different kinds of texts (poems, editorials, books, etc.) but will focus especially on </w:t>
      </w:r>
      <w:r w:rsidR="00E65847">
        <w:rPr>
          <w:rFonts w:ascii="Verdana" w:hAnsi="Verdana"/>
          <w:sz w:val="20"/>
          <w:szCs w:val="20"/>
        </w:rPr>
        <w:t xml:space="preserve">literary nonfiction, reading several classic and contemporary essays. </w:t>
      </w:r>
      <w:r>
        <w:rPr>
          <w:rFonts w:ascii="Verdana" w:hAnsi="Verdana"/>
          <w:sz w:val="20"/>
          <w:szCs w:val="20"/>
        </w:rPr>
        <w:t xml:space="preserve">Students will </w:t>
      </w:r>
      <w:r w:rsidR="00800EF7">
        <w:rPr>
          <w:rFonts w:ascii="Verdana" w:hAnsi="Verdana"/>
          <w:sz w:val="20"/>
          <w:szCs w:val="20"/>
        </w:rPr>
        <w:t>explore</w:t>
      </w:r>
      <w:r>
        <w:rPr>
          <w:rFonts w:ascii="Verdana" w:hAnsi="Verdana"/>
          <w:sz w:val="20"/>
          <w:szCs w:val="20"/>
        </w:rPr>
        <w:t xml:space="preserve"> </w:t>
      </w:r>
      <w:r w:rsidR="00800EF7">
        <w:rPr>
          <w:rFonts w:ascii="Verdana" w:hAnsi="Verdana"/>
          <w:sz w:val="20"/>
          <w:szCs w:val="20"/>
        </w:rPr>
        <w:t xml:space="preserve">how writers use words to create images and how word choice </w:t>
      </w:r>
      <w:r w:rsidR="00E65847">
        <w:rPr>
          <w:rFonts w:ascii="Verdana" w:hAnsi="Verdana"/>
          <w:sz w:val="20"/>
          <w:szCs w:val="20"/>
        </w:rPr>
        <w:t xml:space="preserve">can </w:t>
      </w:r>
      <w:r w:rsidR="00800EF7">
        <w:rPr>
          <w:rFonts w:ascii="Verdana" w:hAnsi="Verdana"/>
          <w:sz w:val="20"/>
          <w:szCs w:val="20"/>
        </w:rPr>
        <w:t xml:space="preserve">convey a speaker’s tone. </w:t>
      </w:r>
    </w:p>
    <w:p w:rsidR="00593B22" w:rsidRDefault="00800EF7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addition to the </w:t>
      </w:r>
      <w:r w:rsidR="00327531">
        <w:rPr>
          <w:rFonts w:ascii="Verdana" w:hAnsi="Verdana"/>
          <w:sz w:val="20"/>
          <w:szCs w:val="20"/>
        </w:rPr>
        <w:t>many</w:t>
      </w:r>
      <w:r>
        <w:rPr>
          <w:rFonts w:ascii="Verdana" w:hAnsi="Verdana"/>
          <w:sz w:val="20"/>
          <w:szCs w:val="20"/>
        </w:rPr>
        <w:t xml:space="preserve"> texts </w:t>
      </w:r>
      <w:r w:rsidR="00327531">
        <w:rPr>
          <w:rFonts w:ascii="Verdana" w:hAnsi="Verdana"/>
          <w:sz w:val="20"/>
          <w:szCs w:val="20"/>
        </w:rPr>
        <w:t>your child will read closely in class, he or she</w:t>
      </w:r>
      <w:r w:rsidR="00365828">
        <w:rPr>
          <w:rFonts w:ascii="Verdana" w:hAnsi="Verdana"/>
          <w:sz w:val="20"/>
          <w:szCs w:val="20"/>
        </w:rPr>
        <w:t xml:space="preserve"> will select texts for independent reading and keep a record of his or her reading. It is important your child establish a regular habit of reading. </w:t>
      </w:r>
    </w:p>
    <w:p w:rsidR="00112E4C" w:rsidRDefault="00112E4C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As a culminating task, your child will compose and publish </w:t>
      </w:r>
      <w:r w:rsidR="00800EF7">
        <w:rPr>
          <w:rFonts w:ascii="Verdana" w:hAnsi="Verdana"/>
          <w:sz w:val="20"/>
          <w:szCs w:val="20"/>
        </w:rPr>
        <w:t>an argument in response to the essential question, using as support evidence from the texts read throughout the quarter.</w:t>
      </w:r>
    </w:p>
    <w:p w:rsidR="00F63097" w:rsidRDefault="009C1F5D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By the end of the first quarter, y</w:t>
      </w:r>
      <w:r w:rsidR="00F63097">
        <w:rPr>
          <w:rFonts w:ascii="Verdana" w:hAnsi="Verdana"/>
          <w:sz w:val="20"/>
          <w:szCs w:val="20"/>
        </w:rPr>
        <w:t xml:space="preserve">our child </w:t>
      </w:r>
      <w:r>
        <w:rPr>
          <w:rFonts w:ascii="Verdana" w:hAnsi="Verdana"/>
          <w:sz w:val="20"/>
          <w:szCs w:val="20"/>
        </w:rPr>
        <w:t>should know and be able to do the following: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C1F5D" w:rsidTr="009C1F5D">
        <w:tc>
          <w:tcPr>
            <w:tcW w:w="4788" w:type="dxa"/>
          </w:tcPr>
          <w:p w:rsidR="009C1F5D" w:rsidRPr="009C1F5D" w:rsidRDefault="00DB66F8" w:rsidP="00FE2BC9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4"/>
                <w:szCs w:val="20"/>
              </w:rPr>
              <w:t>READING</w:t>
            </w:r>
          </w:p>
        </w:tc>
        <w:tc>
          <w:tcPr>
            <w:tcW w:w="4788" w:type="dxa"/>
          </w:tcPr>
          <w:p w:rsidR="009C1F5D" w:rsidRPr="00DB66F8" w:rsidRDefault="00DB66F8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DB66F8">
              <w:rPr>
                <w:rFonts w:ascii="Verdana" w:hAnsi="Verdana"/>
                <w:b/>
                <w:sz w:val="24"/>
                <w:szCs w:val="24"/>
              </w:rPr>
              <w:t>WRITING</w:t>
            </w:r>
          </w:p>
        </w:tc>
      </w:tr>
      <w:tr w:rsidR="009C1F5D" w:rsidTr="009C1F5D">
        <w:tc>
          <w:tcPr>
            <w:tcW w:w="4788" w:type="dxa"/>
          </w:tcPr>
          <w:p w:rsidR="009C1F5D" w:rsidRDefault="009C1F5D" w:rsidP="009C1F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Read grade level texts closely, using annotating strategies to deepen understanding</w:t>
            </w:r>
          </w:p>
        </w:tc>
        <w:tc>
          <w:tcPr>
            <w:tcW w:w="4788" w:type="dxa"/>
          </w:tcPr>
          <w:p w:rsidR="009C1F5D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Develop and strengthen writing by planning, revising, editing, rewriting, or trying a new approach</w:t>
            </w:r>
          </w:p>
        </w:tc>
      </w:tr>
      <w:tr w:rsidR="009C1F5D" w:rsidTr="009C1F5D">
        <w:tc>
          <w:tcPr>
            <w:tcW w:w="4788" w:type="dxa"/>
          </w:tcPr>
          <w:p w:rsidR="009C1F5D" w:rsidRDefault="00DB66F8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what the text says</w:t>
            </w:r>
          </w:p>
        </w:tc>
        <w:tc>
          <w:tcPr>
            <w:tcW w:w="4788" w:type="dxa"/>
          </w:tcPr>
          <w:p w:rsidR="009C1F5D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technology, including the Internet, to produce, publish, and update individual and shared writing products</w:t>
            </w:r>
          </w:p>
        </w:tc>
      </w:tr>
      <w:tr w:rsidR="00DB66F8" w:rsidTr="009C1F5D">
        <w:tc>
          <w:tcPr>
            <w:tcW w:w="4788" w:type="dxa"/>
          </w:tcPr>
          <w:p w:rsidR="00DB66F8" w:rsidRDefault="00DB66F8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Draw inferences to deepen understanding</w:t>
            </w:r>
          </w:p>
        </w:tc>
        <w:tc>
          <w:tcPr>
            <w:tcW w:w="4788" w:type="dxa"/>
          </w:tcPr>
          <w:p w:rsidR="00DB66F8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Gather relevant information from multiple authoritative print and digital sources</w:t>
            </w:r>
          </w:p>
        </w:tc>
      </w:tr>
      <w:tr w:rsidR="009C1F5D" w:rsidTr="009C1F5D">
        <w:tc>
          <w:tcPr>
            <w:tcW w:w="4788" w:type="dxa"/>
          </w:tcPr>
          <w:p w:rsidR="009C1F5D" w:rsidRDefault="009C1F5D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Support inferences with textual evidence</w:t>
            </w:r>
          </w:p>
        </w:tc>
        <w:tc>
          <w:tcPr>
            <w:tcW w:w="4788" w:type="dxa"/>
          </w:tcPr>
          <w:p w:rsidR="009C1F5D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Integrate information into the text selectively to maintain flow and avoid plagiarism</w:t>
            </w:r>
          </w:p>
        </w:tc>
      </w:tr>
      <w:tr w:rsidR="00CD4AEF" w:rsidTr="009C1F5D">
        <w:tc>
          <w:tcPr>
            <w:tcW w:w="4788" w:type="dxa"/>
          </w:tcPr>
          <w:p w:rsidR="00CD4AEF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Analyze how the author’s choice of words impacts the meaning and tone</w:t>
            </w:r>
          </w:p>
        </w:tc>
        <w:tc>
          <w:tcPr>
            <w:tcW w:w="4788" w:type="dxa"/>
            <w:vMerge w:val="restart"/>
          </w:tcPr>
          <w:p w:rsidR="00CD4AEF" w:rsidRDefault="00CD4AEF" w:rsidP="00E465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Write informational paragraphs that explain an analysis of a text</w:t>
            </w:r>
            <w:r w:rsidR="00E465FF">
              <w:rPr>
                <w:rFonts w:ascii="Verdana" w:hAnsi="Verdana"/>
                <w:sz w:val="20"/>
                <w:szCs w:val="20"/>
              </w:rPr>
              <w:t>: introduce a topic;</w:t>
            </w:r>
            <w:r>
              <w:rPr>
                <w:rFonts w:ascii="Verdana" w:hAnsi="Verdana"/>
                <w:sz w:val="20"/>
                <w:szCs w:val="20"/>
              </w:rPr>
              <w:t xml:space="preserve"> select well-chosen, relevant, and suffi</w:t>
            </w:r>
            <w:r w:rsidR="00E465FF">
              <w:rPr>
                <w:rFonts w:ascii="Verdana" w:hAnsi="Verdana"/>
                <w:sz w:val="20"/>
                <w:szCs w:val="20"/>
              </w:rPr>
              <w:t>cient evidence to develop topic;</w:t>
            </w:r>
            <w:r>
              <w:rPr>
                <w:rFonts w:ascii="Verdana" w:hAnsi="Verdana"/>
                <w:sz w:val="20"/>
                <w:szCs w:val="20"/>
              </w:rPr>
              <w:t xml:space="preserve"> use transitions to embed evidence smoothly in own writing</w:t>
            </w:r>
          </w:p>
        </w:tc>
      </w:tr>
      <w:tr w:rsidR="00CD4AEF" w:rsidTr="009C1F5D">
        <w:tc>
          <w:tcPr>
            <w:tcW w:w="4788" w:type="dxa"/>
          </w:tcPr>
          <w:p w:rsidR="00CD4AEF" w:rsidRDefault="00CD4AEF" w:rsidP="00E465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Select texts for independent reading (books, online articles, magazine and journal articles, textbook selections, poems, plays, etc.)</w:t>
            </w:r>
          </w:p>
        </w:tc>
        <w:tc>
          <w:tcPr>
            <w:tcW w:w="4788" w:type="dxa"/>
            <w:vMerge/>
          </w:tcPr>
          <w:p w:rsidR="00CD4AEF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465FF" w:rsidTr="00327531">
        <w:trPr>
          <w:trHeight w:val="1718"/>
        </w:trPr>
        <w:tc>
          <w:tcPr>
            <w:tcW w:w="4788" w:type="dxa"/>
          </w:tcPr>
          <w:p w:rsidR="00E465FF" w:rsidRDefault="00E465F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Establish a habit and record of regular independent reading</w:t>
            </w:r>
          </w:p>
        </w:tc>
        <w:tc>
          <w:tcPr>
            <w:tcW w:w="4788" w:type="dxa"/>
          </w:tcPr>
          <w:p w:rsidR="00E465FF" w:rsidRDefault="00E465FF" w:rsidP="00800EF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Write </w:t>
            </w:r>
            <w:r w:rsidR="00800EF7">
              <w:rPr>
                <w:rFonts w:ascii="Verdana" w:hAnsi="Verdana"/>
                <w:sz w:val="20"/>
                <w:szCs w:val="20"/>
              </w:rPr>
              <w:t xml:space="preserve">an argument which states a claim, develops claim with evidence from multiple sources, acknowledges opposing views, ties together ideas in a way that builds a compelling and logical argument. </w:t>
            </w:r>
          </w:p>
        </w:tc>
      </w:tr>
      <w:tr w:rsidR="00E465FF" w:rsidTr="00E465FF">
        <w:trPr>
          <w:trHeight w:val="377"/>
        </w:trPr>
        <w:tc>
          <w:tcPr>
            <w:tcW w:w="4788" w:type="dxa"/>
          </w:tcPr>
          <w:p w:rsidR="00E465FF" w:rsidRPr="00E465FF" w:rsidRDefault="00E465FF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lastRenderedPageBreak/>
              <w:t>SPEAKING AND LISTENING</w:t>
            </w:r>
          </w:p>
        </w:tc>
        <w:tc>
          <w:tcPr>
            <w:tcW w:w="4788" w:type="dxa"/>
          </w:tcPr>
          <w:p w:rsidR="00E465FF" w:rsidRPr="00E465FF" w:rsidRDefault="00E465FF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t>LANGUAGE</w:t>
            </w:r>
          </w:p>
        </w:tc>
      </w:tr>
      <w:tr w:rsidR="000D4923" w:rsidTr="00E465FF">
        <w:trPr>
          <w:trHeight w:val="377"/>
        </w:trPr>
        <w:tc>
          <w:tcPr>
            <w:tcW w:w="4788" w:type="dxa"/>
          </w:tcPr>
          <w:p w:rsidR="0045735D" w:rsidRPr="00CD525B" w:rsidRDefault="000D4923" w:rsidP="00CD525B">
            <w:pPr>
              <w:rPr>
                <w:rFonts w:ascii="Verdana" w:hAnsi="Verdana"/>
                <w:sz w:val="20"/>
                <w:szCs w:val="20"/>
              </w:rPr>
            </w:pPr>
            <w:r w:rsidRPr="000D4923">
              <w:rPr>
                <w:rFonts w:ascii="Verdana" w:hAnsi="Verdana"/>
                <w:sz w:val="20"/>
                <w:szCs w:val="20"/>
              </w:rPr>
              <w:t>Participate in a range of text-centered discussions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788" w:type="dxa"/>
          </w:tcPr>
          <w:p w:rsidR="000D4923" w:rsidRDefault="0045735D" w:rsidP="00FE2BC9">
            <w:pPr>
              <w:rPr>
                <w:rFonts w:ascii="Verdana" w:hAnsi="Verdana"/>
                <w:sz w:val="20"/>
                <w:szCs w:val="20"/>
              </w:rPr>
            </w:pPr>
            <w:r w:rsidRPr="0045735D">
              <w:rPr>
                <w:rFonts w:ascii="Verdana" w:hAnsi="Verdana"/>
                <w:sz w:val="20"/>
                <w:szCs w:val="20"/>
              </w:rPr>
              <w:t>Use standard English conventions</w:t>
            </w:r>
            <w:r w:rsidR="00B9320E">
              <w:rPr>
                <w:rFonts w:ascii="Verdana" w:hAnsi="Verdana"/>
                <w:sz w:val="20"/>
                <w:szCs w:val="20"/>
              </w:rPr>
              <w:t xml:space="preserve"> of grammar and usage to make effective choices for meaning and style:</w:t>
            </w:r>
          </w:p>
          <w:p w:rsidR="000B221D" w:rsidRDefault="00CD525B" w:rsidP="000B221D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appositive phrases</w:t>
            </w:r>
            <w:r w:rsidR="000B22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9320E" w:rsidRDefault="00B9320E" w:rsidP="00B9320E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parallelism, including anaphora,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polysyndeton</w:t>
            </w:r>
            <w:proofErr w:type="spellEnd"/>
          </w:p>
          <w:p w:rsidR="00B9320E" w:rsidRPr="000B221D" w:rsidRDefault="00B9320E" w:rsidP="00B9320E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semicolons </w:t>
            </w: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Come to discussions prepared, having read and researched materials under study</w:t>
            </w:r>
          </w:p>
        </w:tc>
        <w:tc>
          <w:tcPr>
            <w:tcW w:w="4788" w:type="dxa"/>
            <w:vMerge w:val="restart"/>
          </w:tcPr>
          <w:p w:rsidR="00B9320E" w:rsidRDefault="00B9320E" w:rsidP="00FE2BC9">
            <w:pPr>
              <w:rPr>
                <w:rFonts w:ascii="Verdana" w:hAnsi="Verdana"/>
                <w:sz w:val="20"/>
                <w:szCs w:val="20"/>
              </w:rPr>
            </w:pPr>
            <w:r w:rsidRPr="00823BF4">
              <w:rPr>
                <w:rFonts w:ascii="Verdana" w:hAnsi="Verdana"/>
                <w:sz w:val="20"/>
                <w:szCs w:val="20"/>
              </w:rPr>
              <w:t xml:space="preserve">Use </w:t>
            </w:r>
            <w:r>
              <w:rPr>
                <w:rFonts w:ascii="Verdana" w:hAnsi="Verdana"/>
                <w:sz w:val="20"/>
                <w:szCs w:val="20"/>
              </w:rPr>
              <w:t>standard English capitalization, punctuation, and spelling:</w:t>
            </w:r>
          </w:p>
          <w:p w:rsidR="00B9320E" w:rsidRPr="00B9320E" w:rsidRDefault="00B9320E" w:rsidP="00B9320E">
            <w:pPr>
              <w:pStyle w:val="ListParagraph"/>
              <w:numPr>
                <w:ilvl w:val="0"/>
                <w:numId w:val="1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commas with rest</w:t>
            </w:r>
            <w:r>
              <w:rPr>
                <w:rFonts w:ascii="Verdana" w:eastAsia="Calibri" w:hAnsi="Verdana" w:cstheme="minorHAnsi"/>
                <w:sz w:val="20"/>
                <w:szCs w:val="20"/>
              </w:rPr>
              <w:t xml:space="preserve">rictive and </w:t>
            </w: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nonrestrictive phrases</w:t>
            </w:r>
          </w:p>
          <w:p w:rsidR="00B9320E" w:rsidRPr="00B9320E" w:rsidRDefault="00B9320E" w:rsidP="00B9320E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Refer to specific parts of the text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Pose and respond to questions that probe reasoning and evidence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Relate discussion to broader themes or larger ideas</w:t>
            </w:r>
          </w:p>
        </w:tc>
        <w:tc>
          <w:tcPr>
            <w:tcW w:w="4788" w:type="dxa"/>
            <w:vMerge w:val="restart"/>
          </w:tcPr>
          <w:p w:rsidR="00B9320E" w:rsidRPr="00823BF4" w:rsidRDefault="00B9320E" w:rsidP="00FE2BC9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Determine the meaning of unknown words:</w:t>
            </w:r>
          </w:p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context clues</w:t>
            </w:r>
          </w:p>
          <w:p w:rsidR="00B9320E" w:rsidRPr="00823BF4" w:rsidRDefault="00B9320E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appropriate references (print/digital) to determine meaning and word origin.</w:t>
            </w: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B9320E" w:rsidRDefault="00B9320E" w:rsidP="00CD525B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Clarify, verify, and challenge ideas and conclusions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B9320E" w:rsidTr="00B9320E">
        <w:trPr>
          <w:trHeight w:val="935"/>
        </w:trPr>
        <w:tc>
          <w:tcPr>
            <w:tcW w:w="4788" w:type="dxa"/>
          </w:tcPr>
          <w:p w:rsidR="00B9320E" w:rsidRPr="00B9320E" w:rsidRDefault="00B9320E" w:rsidP="00B9320E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Synthesize comments, claims, and evidence made on all sides of an issue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0D4B00" w:rsidTr="00E465FF">
        <w:trPr>
          <w:trHeight w:val="377"/>
        </w:trPr>
        <w:tc>
          <w:tcPr>
            <w:tcW w:w="4788" w:type="dxa"/>
          </w:tcPr>
          <w:p w:rsidR="000D4B00" w:rsidRPr="00B9320E" w:rsidRDefault="00B9320E" w:rsidP="00B9320E">
            <w:pPr>
              <w:pStyle w:val="ListParagraph"/>
              <w:numPr>
                <w:ilvl w:val="0"/>
                <w:numId w:val="3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Evaluate the speaker’s point of view, reasoning, and use of evidence and rhetoric, assessing the stance, premises, links among ideas, word choice, point of emphasis, and tone used.</w:t>
            </w:r>
          </w:p>
        </w:tc>
        <w:tc>
          <w:tcPr>
            <w:tcW w:w="4788" w:type="dxa"/>
          </w:tcPr>
          <w:p w:rsidR="000D4B00" w:rsidRPr="00823BF4" w:rsidRDefault="00823BF4" w:rsidP="00FE2BC9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Analyze the role of fi</w:t>
            </w:r>
            <w:r w:rsidR="00CA7F2B">
              <w:rPr>
                <w:rFonts w:ascii="Verdana" w:hAnsi="Verdana"/>
                <w:sz w:val="20"/>
                <w:szCs w:val="24"/>
              </w:rPr>
              <w:t>gurative language (simile and metaphor) in a text and explain how it impacts meaning:</w:t>
            </w: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0D4B00" w:rsidRDefault="00B9320E" w:rsidP="00B9320E">
            <w:pPr>
              <w:pStyle w:val="ListParagraph"/>
              <w:numPr>
                <w:ilvl w:val="0"/>
                <w:numId w:val="4"/>
              </w:numPr>
              <w:ind w:left="720"/>
              <w:rPr>
                <w:rFonts w:ascii="Verdana" w:hAnsi="Verdana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Work with peers to promote civil, democratic discussions and decision-making.</w:t>
            </w:r>
          </w:p>
        </w:tc>
        <w:tc>
          <w:tcPr>
            <w:tcW w:w="4788" w:type="dxa"/>
            <w:vMerge w:val="restart"/>
          </w:tcPr>
          <w:p w:rsidR="00B9320E" w:rsidRPr="00CA7F2B" w:rsidRDefault="00B9320E" w:rsidP="00CA7F2B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general academic vocabulary in reading, writing, speaking, and listening for comprehension.</w:t>
            </w: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Default="00B9320E" w:rsidP="000D4B00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CD525B">
              <w:rPr>
                <w:rFonts w:ascii="Verdana" w:hAnsi="Verdana"/>
                <w:sz w:val="20"/>
                <w:szCs w:val="20"/>
              </w:rPr>
              <w:t>Actively incorporate others in discussion</w:t>
            </w:r>
          </w:p>
        </w:tc>
        <w:tc>
          <w:tcPr>
            <w:tcW w:w="4788" w:type="dxa"/>
            <w:vMerge/>
          </w:tcPr>
          <w:p w:rsidR="00B9320E" w:rsidRDefault="00B9320E" w:rsidP="00B9320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Default="00B9320E" w:rsidP="00B9320E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788" w:type="dxa"/>
            <w:vMerge/>
          </w:tcPr>
          <w:p w:rsidR="00B9320E" w:rsidRDefault="00B9320E" w:rsidP="00B9320E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9C1F5D" w:rsidRDefault="009C1F5D" w:rsidP="00FE2BC9">
      <w:pPr>
        <w:rPr>
          <w:rFonts w:ascii="Verdana" w:hAnsi="Verdana"/>
          <w:sz w:val="20"/>
          <w:szCs w:val="20"/>
        </w:rPr>
      </w:pPr>
    </w:p>
    <w:p w:rsidR="00F63097" w:rsidRDefault="00F63097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9C1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4821"/>
    <w:multiLevelType w:val="hybridMultilevel"/>
    <w:tmpl w:val="94CCF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A61C6"/>
    <w:multiLevelType w:val="hybridMultilevel"/>
    <w:tmpl w:val="76982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435FB"/>
    <w:multiLevelType w:val="hybridMultilevel"/>
    <w:tmpl w:val="6F1A9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E0ABD"/>
    <w:multiLevelType w:val="hybridMultilevel"/>
    <w:tmpl w:val="69960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FF2BBB"/>
    <w:multiLevelType w:val="hybridMultilevel"/>
    <w:tmpl w:val="BBD8D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B221D"/>
    <w:rsid w:val="000C3D5B"/>
    <w:rsid w:val="000D4923"/>
    <w:rsid w:val="000D4B00"/>
    <w:rsid w:val="00112E4C"/>
    <w:rsid w:val="00204CDA"/>
    <w:rsid w:val="00327531"/>
    <w:rsid w:val="00365828"/>
    <w:rsid w:val="0045735D"/>
    <w:rsid w:val="004E316E"/>
    <w:rsid w:val="00593B22"/>
    <w:rsid w:val="005F2C1A"/>
    <w:rsid w:val="007D0B22"/>
    <w:rsid w:val="00800EF7"/>
    <w:rsid w:val="00823BF4"/>
    <w:rsid w:val="00884EC7"/>
    <w:rsid w:val="008F45E1"/>
    <w:rsid w:val="00931DCB"/>
    <w:rsid w:val="009C1F5D"/>
    <w:rsid w:val="009E41C0"/>
    <w:rsid w:val="00B9320E"/>
    <w:rsid w:val="00BC7CDD"/>
    <w:rsid w:val="00C20389"/>
    <w:rsid w:val="00C62847"/>
    <w:rsid w:val="00CA7F2B"/>
    <w:rsid w:val="00CD4AEF"/>
    <w:rsid w:val="00CD525B"/>
    <w:rsid w:val="00DA5CA6"/>
    <w:rsid w:val="00DB66F8"/>
    <w:rsid w:val="00E465FF"/>
    <w:rsid w:val="00E65847"/>
    <w:rsid w:val="00EE3078"/>
    <w:rsid w:val="00F26813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D4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lhuff</cp:lastModifiedBy>
  <cp:revision>4</cp:revision>
  <cp:lastPrinted>2012-08-14T22:55:00Z</cp:lastPrinted>
  <dcterms:created xsi:type="dcterms:W3CDTF">2012-08-14T22:56:00Z</dcterms:created>
  <dcterms:modified xsi:type="dcterms:W3CDTF">2012-08-14T23:03:00Z</dcterms:modified>
</cp:coreProperties>
</file>